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C2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="004B6D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2E56" w:rsidRDefault="006F3DC2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от 07.06.2021 № 54 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6D7D" w:rsidRDefault="004B6D7D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4907" w:rsidRDefault="00B84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907" w:rsidRDefault="00B84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60E" w:rsidRPr="00813176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176">
        <w:rPr>
          <w:rFonts w:ascii="Times New Roman" w:hAnsi="Times New Roman" w:cs="Times New Roman"/>
          <w:sz w:val="28"/>
          <w:szCs w:val="28"/>
        </w:rPr>
        <w:t>П</w:t>
      </w:r>
      <w:r w:rsidR="00B84907" w:rsidRPr="00813176">
        <w:rPr>
          <w:rFonts w:ascii="Times New Roman" w:hAnsi="Times New Roman" w:cs="Times New Roman"/>
          <w:sz w:val="28"/>
          <w:szCs w:val="28"/>
        </w:rPr>
        <w:t>ОЛОЖЕНИЕ</w:t>
      </w:r>
      <w:r w:rsidR="009746B9" w:rsidRPr="0081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07" w:rsidRPr="00813176" w:rsidRDefault="00B84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176">
        <w:rPr>
          <w:rFonts w:ascii="Times New Roman" w:hAnsi="Times New Roman" w:cs="Times New Roman"/>
          <w:sz w:val="28"/>
          <w:szCs w:val="28"/>
        </w:rPr>
        <w:t>ОБ АНТИКОРРУПЦИОННОЙ ПОЛИТИКЕ</w:t>
      </w:r>
    </w:p>
    <w:p w:rsidR="009746B9" w:rsidRPr="00813176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248" w:rsidRPr="00813176">
        <w:rPr>
          <w:rFonts w:ascii="Times New Roman" w:hAnsi="Times New Roman" w:cs="Times New Roman"/>
          <w:sz w:val="28"/>
          <w:szCs w:val="28"/>
        </w:rPr>
        <w:t>Государственно</w:t>
      </w:r>
      <w:r w:rsidR="00B84907" w:rsidRPr="00813176">
        <w:rPr>
          <w:rFonts w:ascii="Times New Roman" w:hAnsi="Times New Roman" w:cs="Times New Roman"/>
          <w:sz w:val="28"/>
          <w:szCs w:val="28"/>
        </w:rPr>
        <w:t>го</w:t>
      </w:r>
      <w:r w:rsidR="00965248" w:rsidRPr="0081317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B84907" w:rsidRPr="00813176">
        <w:rPr>
          <w:rFonts w:ascii="Times New Roman" w:hAnsi="Times New Roman" w:cs="Times New Roman"/>
          <w:sz w:val="28"/>
          <w:szCs w:val="28"/>
        </w:rPr>
        <w:t>го</w:t>
      </w:r>
      <w:r w:rsidR="00965248" w:rsidRPr="008131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4907" w:rsidRPr="00813176">
        <w:rPr>
          <w:rFonts w:ascii="Times New Roman" w:hAnsi="Times New Roman" w:cs="Times New Roman"/>
          <w:sz w:val="28"/>
          <w:szCs w:val="28"/>
        </w:rPr>
        <w:t>я</w:t>
      </w:r>
      <w:r w:rsidR="00965248" w:rsidRPr="00813176">
        <w:rPr>
          <w:rFonts w:ascii="Times New Roman" w:hAnsi="Times New Roman" w:cs="Times New Roman"/>
          <w:sz w:val="28"/>
          <w:szCs w:val="28"/>
        </w:rPr>
        <w:t xml:space="preserve"> Новосибирской области «Научно-производственный центр по сохранению историко-культурного наследия Новосибирской области»</w:t>
      </w:r>
    </w:p>
    <w:p w:rsidR="00B84907" w:rsidRPr="00813176" w:rsidRDefault="00B84907" w:rsidP="00B849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76">
        <w:rPr>
          <w:rFonts w:ascii="Times New Roman" w:hAnsi="Times New Roman" w:cs="Times New Roman"/>
          <w:b/>
          <w:sz w:val="28"/>
          <w:szCs w:val="28"/>
        </w:rPr>
        <w:t>(ГАУ НСО НПЦ)</w:t>
      </w:r>
    </w:p>
    <w:p w:rsidR="00B84907" w:rsidRPr="008D01A8" w:rsidRDefault="00B84907" w:rsidP="00B84907">
      <w:pPr>
        <w:keepNext/>
        <w:keepLines/>
        <w:tabs>
          <w:tab w:val="left" w:pos="0"/>
          <w:tab w:val="left" w:pos="993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49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политика </w:t>
      </w:r>
      <w:r>
        <w:rPr>
          <w:rFonts w:ascii="Times New Roman" w:hAnsi="Times New Roman" w:cs="Times New Roman"/>
          <w:sz w:val="28"/>
          <w:szCs w:val="28"/>
        </w:rPr>
        <w:t>ГАУ НСО НПЦ</w:t>
      </w:r>
      <w:r w:rsidRPr="00B8490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ГАУ НСО НПЦ</w:t>
      </w:r>
      <w:r w:rsidRPr="00B84907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84907">
        <w:rPr>
          <w:rFonts w:ascii="Times New Roman" w:hAnsi="Times New Roman" w:cs="Times New Roman"/>
          <w:sz w:val="28"/>
          <w:szCs w:val="28"/>
        </w:rPr>
        <w:t>Настоящее Положение основано на нормах Конституции Российской Федерации, Федерального закона от 25.12.2008 № 273-ФЗ «О противодействии коррупции», Федеральный закон от 18.07.2011 N 223-ФЗ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07">
        <w:rPr>
          <w:rFonts w:ascii="Times New Roman" w:hAnsi="Times New Roman" w:cs="Times New Roman"/>
          <w:sz w:val="28"/>
          <w:szCs w:val="28"/>
        </w:rPr>
        <w:t>"О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 xml:space="preserve">ельными видами юридических лиц" </w:t>
      </w:r>
      <w:r w:rsidRPr="00B84907">
        <w:rPr>
          <w:rFonts w:ascii="Times New Roman" w:hAnsi="Times New Roman" w:cs="Times New Roman"/>
          <w:sz w:val="28"/>
          <w:szCs w:val="28"/>
        </w:rPr>
        <w:t>и разработано с учетом Методических рекомендаций по разработке и принятию организациями мер по предупреждению и противодействию коррупции, разработанных Министерством труда и социальной защиты Российской Федерации, Устава Учреждения и других</w:t>
      </w:r>
      <w:proofErr w:type="gramEnd"/>
      <w:r w:rsidRPr="00B84907">
        <w:rPr>
          <w:rFonts w:ascii="Times New Roman" w:hAnsi="Times New Roman" w:cs="Times New Roman"/>
          <w:sz w:val="28"/>
          <w:szCs w:val="28"/>
        </w:rPr>
        <w:t xml:space="preserve"> локальных актов Учреждения.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3. Целями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являются: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- обеспечение соответствия деятельности Учреждения требованиям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минимизация рисков вовлечения Учреждения и его работников в коррупционную деятельность;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 в Учреждении;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формирование у работников Учреждения нетерпимости к коррупционному поведению.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4907">
        <w:rPr>
          <w:rFonts w:ascii="Times New Roman" w:hAnsi="Times New Roman" w:cs="Times New Roman"/>
          <w:sz w:val="28"/>
          <w:szCs w:val="28"/>
        </w:rPr>
        <w:t xml:space="preserve">. Задачами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являются: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- определение должностных лиц Учреждения, ответственных за реализацию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Учреждения;</w:t>
      </w:r>
    </w:p>
    <w:p w:rsidR="00B84907" w:rsidRDefault="00B84907" w:rsidP="00B84907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информирование работников Учреждения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определение основных принципов работы по предупреждению коррупции в Учреждении;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- разработка и реализация мер, направленных на профилактику и противодействие коррупции в Учреждении;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lastRenderedPageBreak/>
        <w:t xml:space="preserve">- закрепление ответственности работников Учреждения за несоблюдение требований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Учреждения.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5. Для целей настоящего Положения используются следующие основные понятия: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907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B84907">
        <w:rPr>
          <w:rFonts w:ascii="Times New Roman" w:hAnsi="Times New Roman" w:cs="Times New Roman"/>
          <w:sz w:val="28"/>
          <w:szCs w:val="28"/>
        </w:rPr>
        <w:t>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B84907">
        <w:rPr>
          <w:rFonts w:ascii="Times New Roman" w:hAnsi="Times New Roman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907">
        <w:rPr>
          <w:rFonts w:ascii="Times New Roman" w:hAnsi="Times New Roman" w:cs="Times New Roman"/>
          <w:b/>
          <w:sz w:val="28"/>
          <w:szCs w:val="28"/>
        </w:rPr>
        <w:t>взятка</w:t>
      </w:r>
      <w:r w:rsidRPr="00B84907">
        <w:rPr>
          <w:rFonts w:ascii="Times New Roman" w:hAnsi="Times New Roman" w:cs="Times New Roman"/>
          <w:sz w:val="28"/>
          <w:szCs w:val="28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B84907">
        <w:rPr>
          <w:rFonts w:ascii="Times New Roman" w:hAnsi="Times New Roman" w:cs="Times New Roman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907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B84907">
        <w:rPr>
          <w:rFonts w:ascii="Times New Roman" w:hAnsi="Times New Roman" w:cs="Times New Roman"/>
          <w:sz w:val="28"/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B84907">
        <w:rPr>
          <w:rFonts w:ascii="Times New Roman" w:hAnsi="Times New Roman" w:cs="Times New Roman"/>
          <w:sz w:val="28"/>
          <w:szCs w:val="28"/>
        </w:rP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8D01A8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3) по минимизации и (или) ликвидации последствий коррупционных правонарушений;</w:t>
      </w:r>
    </w:p>
    <w:p w:rsidR="00B84907" w:rsidRPr="00B84907" w:rsidRDefault="00B84907" w:rsidP="008D01A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B84907">
        <w:rPr>
          <w:rFonts w:ascii="Times New Roman" w:hAnsi="Times New Roman" w:cs="Times New Roman"/>
          <w:sz w:val="28"/>
          <w:szCs w:val="28"/>
        </w:rP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работник </w:t>
      </w:r>
      <w:r w:rsidRPr="00B84907">
        <w:rPr>
          <w:rFonts w:ascii="Times New Roman" w:hAnsi="Times New Roman" w:cs="Times New Roman"/>
          <w:sz w:val="28"/>
          <w:szCs w:val="28"/>
        </w:rPr>
        <w:t>Учреждения ‒ физическое лицо, вступившее в трудовые отношения с Учреждением;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 w:rsidRPr="00B84907">
        <w:rPr>
          <w:rFonts w:ascii="Times New Roman" w:hAnsi="Times New Roman" w:cs="Times New Roman"/>
          <w:sz w:val="28"/>
          <w:szCs w:val="28"/>
        </w:rPr>
        <w:t>Учреждения 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8D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07">
        <w:rPr>
          <w:rFonts w:ascii="Times New Roman" w:hAnsi="Times New Roman" w:cs="Times New Roman"/>
          <w:sz w:val="28"/>
          <w:szCs w:val="28"/>
        </w:rPr>
        <w:t>‒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4907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B84907">
        <w:rPr>
          <w:rFonts w:ascii="Times New Roman" w:hAnsi="Times New Roman" w:cs="Times New Roman"/>
          <w:sz w:val="28"/>
          <w:szCs w:val="28"/>
        </w:rPr>
        <w:t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B84907"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4907">
        <w:rPr>
          <w:rFonts w:ascii="Times New Roman" w:hAnsi="Times New Roman" w:cs="Times New Roman"/>
          <w:b/>
          <w:sz w:val="28"/>
          <w:szCs w:val="28"/>
        </w:rPr>
        <w:t>. Область применения настоящего Положения</w:t>
      </w: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>и круг лиц, на которых распространяется его действие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7. 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4907">
        <w:rPr>
          <w:rFonts w:ascii="Times New Roman" w:hAnsi="Times New Roman" w:cs="Times New Roman"/>
          <w:b/>
          <w:sz w:val="28"/>
          <w:szCs w:val="28"/>
        </w:rPr>
        <w:t xml:space="preserve">. Основные принципы </w:t>
      </w:r>
      <w:proofErr w:type="spellStart"/>
      <w:r w:rsidRPr="00B8490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b/>
          <w:sz w:val="28"/>
          <w:szCs w:val="28"/>
        </w:rPr>
        <w:t xml:space="preserve"> политики Учреждения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политика Учреждения основывается на следующих основных принципах: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1) принцип соответствия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 законодательству Российской Федерации и общепринятым нормам права.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2) принцип личного примера руководства.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lastRenderedPageBreak/>
        <w:t>3) принцип вовлеченности работников.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законодательства, обеспечение  их активного участия в формировании и реализации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4) принцип соразмерности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процедур коррупционным рискам.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5) принцип эффективности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мероприятий в Учреждении простыми способами, имеющими низкую стоимость и приносящими требуемый (достаточный) результат.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6) принцип ответственности и неотвратимости наказания.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политики Учреждения.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7) принцип открытости хозяйственной и иной деятельности.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 Учреждении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стандартах и процедурах.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>8) принцип постоянного контроля и регулярного мониторинга.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907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B8490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84907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B84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490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4907">
        <w:rPr>
          <w:rFonts w:ascii="Times New Roman" w:hAnsi="Times New Roman" w:cs="Times New Roman"/>
          <w:b/>
          <w:sz w:val="28"/>
          <w:szCs w:val="28"/>
        </w:rPr>
        <w:t>. Должностные лица Учреждения, ответственные за реализацию</w:t>
      </w:r>
    </w:p>
    <w:p w:rsidR="00B84907" w:rsidRPr="00B84907" w:rsidRDefault="00B84907" w:rsidP="00813176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90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84907">
        <w:rPr>
          <w:rFonts w:ascii="Times New Roman" w:hAnsi="Times New Roman" w:cs="Times New Roman"/>
          <w:b/>
          <w:sz w:val="28"/>
          <w:szCs w:val="28"/>
        </w:rPr>
        <w:t xml:space="preserve"> политики Учреждения</w:t>
      </w:r>
    </w:p>
    <w:p w:rsidR="00B84907" w:rsidRPr="00B84907" w:rsidRDefault="00B84907" w:rsidP="00813176">
      <w:pPr>
        <w:pStyle w:val="af5"/>
        <w:rPr>
          <w:rFonts w:cs="Times New Roman"/>
          <w:szCs w:val="28"/>
        </w:rPr>
      </w:pP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 xml:space="preserve"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реализацию </w:t>
      </w:r>
      <w:proofErr w:type="spellStart"/>
      <w:r w:rsidRPr="00B84907">
        <w:rPr>
          <w:rFonts w:cs="Times New Roman"/>
          <w:szCs w:val="28"/>
        </w:rPr>
        <w:t>антикоррупционной</w:t>
      </w:r>
      <w:proofErr w:type="spellEnd"/>
      <w:r w:rsidRPr="00B84907">
        <w:rPr>
          <w:rFonts w:cs="Times New Roman"/>
          <w:szCs w:val="28"/>
        </w:rPr>
        <w:t xml:space="preserve"> политики Учреждения в пределах их полномочий.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11. </w:t>
      </w:r>
      <w:proofErr w:type="gramStart"/>
      <w:r w:rsidRPr="00B84907">
        <w:rPr>
          <w:rFonts w:cs="Times New Roman"/>
          <w:szCs w:val="28"/>
        </w:rPr>
        <w:t xml:space="preserve">Основные обязанности должностного лица (должностных лиц), ответственного (ответственных) за реализацию </w:t>
      </w:r>
      <w:proofErr w:type="spellStart"/>
      <w:r w:rsidRPr="00B84907">
        <w:rPr>
          <w:rFonts w:cs="Times New Roman"/>
          <w:szCs w:val="28"/>
        </w:rPr>
        <w:t>антикоррупционной</w:t>
      </w:r>
      <w:proofErr w:type="spellEnd"/>
      <w:r w:rsidRPr="00B84907">
        <w:rPr>
          <w:rFonts w:cs="Times New Roman"/>
          <w:szCs w:val="28"/>
        </w:rPr>
        <w:t xml:space="preserve"> политики Учреждения:</w:t>
      </w:r>
      <w:proofErr w:type="gramEnd"/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подготовка рекомендаций для принятия решений по вопросам предупреждения коррупции в Учреждении;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lastRenderedPageBreak/>
        <w:t>- разработка и представление на утверждение руководителю Учреждения проектов локальных нормативных актов, направленных на реализацию мер по предупреждению коррупции в Учреждении;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организация проведения оценки коррупционных рисков;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организация работы по рассмотрению сообщений о конфликте интересов;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 xml:space="preserve"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</w:t>
      </w:r>
      <w:proofErr w:type="spellStart"/>
      <w:r w:rsidRPr="00B84907">
        <w:rPr>
          <w:rFonts w:cs="Times New Roman"/>
          <w:szCs w:val="28"/>
        </w:rPr>
        <w:t>оперативно-разыскные</w:t>
      </w:r>
      <w:proofErr w:type="spellEnd"/>
      <w:r w:rsidRPr="00B84907">
        <w:rPr>
          <w:rFonts w:cs="Times New Roman"/>
          <w:szCs w:val="28"/>
        </w:rPr>
        <w:t xml:space="preserve"> мероприятия;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индивидуальное консультирование работников Учреждения;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 xml:space="preserve">- участие в организации </w:t>
      </w:r>
      <w:proofErr w:type="spellStart"/>
      <w:r w:rsidRPr="00B84907">
        <w:rPr>
          <w:rFonts w:cs="Times New Roman"/>
          <w:szCs w:val="28"/>
        </w:rPr>
        <w:t>антикоррупционной</w:t>
      </w:r>
      <w:proofErr w:type="spellEnd"/>
      <w:r w:rsidRPr="00B84907">
        <w:rPr>
          <w:rFonts w:cs="Times New Roman"/>
          <w:szCs w:val="28"/>
        </w:rPr>
        <w:t xml:space="preserve"> пропаганды;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B84907" w:rsidRPr="00B84907" w:rsidRDefault="00B84907" w:rsidP="00B84907">
      <w:pPr>
        <w:tabs>
          <w:tab w:val="left" w:pos="581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84907" w:rsidRPr="00B84907" w:rsidRDefault="00B84907" w:rsidP="007F0399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4907">
        <w:rPr>
          <w:rFonts w:ascii="Times New Roman" w:hAnsi="Times New Roman" w:cs="Times New Roman"/>
          <w:b/>
          <w:sz w:val="28"/>
          <w:szCs w:val="28"/>
        </w:rPr>
        <w:t>. Обязанности руководителя Учреждения и работников Учреждения,</w:t>
      </w:r>
    </w:p>
    <w:p w:rsidR="00B84907" w:rsidRPr="00B84907" w:rsidRDefault="00B84907" w:rsidP="007F0399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07">
        <w:rPr>
          <w:rFonts w:ascii="Times New Roman" w:hAnsi="Times New Roman" w:cs="Times New Roman"/>
          <w:b/>
          <w:sz w:val="28"/>
          <w:szCs w:val="28"/>
        </w:rPr>
        <w:t>по предупреждению коррупции</w:t>
      </w:r>
    </w:p>
    <w:p w:rsidR="00B84907" w:rsidRPr="00B84907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12. Работники Учреждения знакомятся с настоящим Положением под роспись.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13. 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 w:rsidRPr="00B84907">
        <w:rPr>
          <w:rFonts w:cs="Times New Roman"/>
          <w:szCs w:val="28"/>
        </w:rPr>
        <w:t>в Учреждении в связи с исполнением ими трудовых обязанностей в соответствии с трудовым договором</w:t>
      </w:r>
      <w:proofErr w:type="gramEnd"/>
      <w:r w:rsidRPr="00B84907">
        <w:rPr>
          <w:rFonts w:cs="Times New Roman"/>
          <w:szCs w:val="28"/>
        </w:rPr>
        <w:t xml:space="preserve"> должны: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Pr="00B84907">
        <w:rPr>
          <w:rFonts w:cs="Times New Roman"/>
          <w:szCs w:val="28"/>
        </w:rPr>
        <w:t>антикоррупционной</w:t>
      </w:r>
      <w:proofErr w:type="spellEnd"/>
      <w:r w:rsidRPr="00B84907">
        <w:rPr>
          <w:rFonts w:cs="Times New Roman"/>
          <w:szCs w:val="28"/>
        </w:rPr>
        <w:t xml:space="preserve"> политики Учреждения;</w:t>
      </w:r>
    </w:p>
    <w:p w:rsidR="00B84907" w:rsidRPr="00B84907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B84907">
        <w:rPr>
          <w:rFonts w:cs="Times New Roman"/>
          <w:szCs w:val="28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B84907" w:rsidRPr="00E92D79" w:rsidRDefault="00B84907" w:rsidP="00B84907">
      <w:pPr>
        <w:pStyle w:val="af5"/>
        <w:ind w:firstLine="709"/>
        <w:jc w:val="both"/>
      </w:pPr>
      <w:r w:rsidRPr="00B84907">
        <w:rPr>
          <w:rFonts w:cs="Times New Roman"/>
          <w:szCs w:val="28"/>
        </w:rPr>
        <w:t>- воздерживаться от поведения, которое может быть истолковано окружающими как готовн</w:t>
      </w:r>
      <w:r w:rsidRPr="00E92D79">
        <w:t xml:space="preserve">ость совершить или участвовать в совершении </w:t>
      </w:r>
      <w:r w:rsidRPr="00E92D79">
        <w:lastRenderedPageBreak/>
        <w:t>коррупционного правонарушения, в том числе в интересах или от имени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15. Работник Учреждения вне зависимости от должности и стажа работы </w:t>
      </w:r>
      <w:proofErr w:type="gramStart"/>
      <w:r w:rsidRPr="00E92D79">
        <w:t>в Учреждении в связи с исполнением им трудовых обязанностей в соответствии с трудовым договором</w:t>
      </w:r>
      <w:proofErr w:type="gramEnd"/>
      <w:r w:rsidRPr="00E92D79">
        <w:t xml:space="preserve"> должен: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B84907" w:rsidRPr="00E92D79" w:rsidRDefault="00B84907" w:rsidP="00B84907">
      <w:pPr>
        <w:pStyle w:val="af5"/>
        <w:ind w:firstLine="709"/>
        <w:jc w:val="both"/>
      </w:pPr>
    </w:p>
    <w:p w:rsidR="00B84907" w:rsidRPr="00E92D79" w:rsidRDefault="00B84907" w:rsidP="00B84907">
      <w:pPr>
        <w:pStyle w:val="af5"/>
        <w:ind w:firstLine="709"/>
        <w:rPr>
          <w:b/>
        </w:rPr>
      </w:pPr>
      <w:r w:rsidRPr="00E92D79">
        <w:rPr>
          <w:b/>
          <w:lang w:val="en-US"/>
        </w:rPr>
        <w:t>VI</w:t>
      </w:r>
      <w:r w:rsidRPr="00E92D79">
        <w:rPr>
          <w:b/>
        </w:rPr>
        <w:t>. Перечень мероприятий по предупреждению коррупции,</w:t>
      </w:r>
    </w:p>
    <w:p w:rsidR="00B84907" w:rsidRPr="00E92D79" w:rsidRDefault="00B84907" w:rsidP="00B84907">
      <w:pPr>
        <w:pStyle w:val="af5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</w:p>
    <w:p w:rsidR="00B84907" w:rsidRPr="00E92D79" w:rsidRDefault="00B84907" w:rsidP="00B84907">
      <w:pPr>
        <w:pStyle w:val="af5"/>
        <w:ind w:firstLine="709"/>
        <w:rPr>
          <w:b/>
          <w:lang w:val="en-US"/>
        </w:rPr>
      </w:pPr>
    </w:p>
    <w:tbl>
      <w:tblPr>
        <w:tblStyle w:val="af4"/>
        <w:tblW w:w="0" w:type="auto"/>
        <w:tblLook w:val="04A0"/>
      </w:tblPr>
      <w:tblGrid>
        <w:gridCol w:w="3794"/>
        <w:gridCol w:w="6343"/>
      </w:tblGrid>
      <w:tr w:rsidR="00B84907" w:rsidRPr="00E92D79" w:rsidTr="00A97216">
        <w:tc>
          <w:tcPr>
            <w:tcW w:w="3794" w:type="dxa"/>
          </w:tcPr>
          <w:p w:rsidR="00B84907" w:rsidRPr="00E92D79" w:rsidRDefault="00B84907" w:rsidP="00A97216">
            <w:pPr>
              <w:pStyle w:val="af5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B84907" w:rsidRPr="00E92D79" w:rsidRDefault="00B84907" w:rsidP="00A97216">
            <w:pPr>
              <w:pStyle w:val="af5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B84907" w:rsidRPr="00E92D79" w:rsidTr="00A97216">
        <w:trPr>
          <w:trHeight w:val="277"/>
        </w:trPr>
        <w:tc>
          <w:tcPr>
            <w:tcW w:w="3794" w:type="dxa"/>
            <w:vMerge w:val="restart"/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Разработка и принятие Кодекса этики и служебного поведения работников Учреждения</w:t>
            </w:r>
          </w:p>
        </w:tc>
      </w:tr>
      <w:tr w:rsidR="00B84907" w:rsidRPr="00E92D79" w:rsidTr="00A97216">
        <w:trPr>
          <w:trHeight w:val="288"/>
        </w:trPr>
        <w:tc>
          <w:tcPr>
            <w:tcW w:w="3794" w:type="dxa"/>
            <w:vMerge/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B84907" w:rsidRPr="00E92D79" w:rsidTr="00A97216">
        <w:trPr>
          <w:trHeight w:val="207"/>
        </w:trPr>
        <w:tc>
          <w:tcPr>
            <w:tcW w:w="3794" w:type="dxa"/>
            <w:vMerge/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положений о соблюдении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оговорки)</w:t>
            </w:r>
          </w:p>
        </w:tc>
      </w:tr>
      <w:tr w:rsidR="00B84907" w:rsidRPr="00E92D79" w:rsidTr="00A97216">
        <w:trPr>
          <w:trHeight w:val="173"/>
        </w:trPr>
        <w:tc>
          <w:tcPr>
            <w:tcW w:w="3794" w:type="dxa"/>
            <w:vMerge/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Введение 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положений, а также в должностные инструкции</w:t>
            </w:r>
            <w:r w:rsidRPr="00E92D79" w:rsidDel="002A6134">
              <w:t xml:space="preserve"> </w:t>
            </w:r>
            <w:r w:rsidRPr="00E92D79">
              <w:t xml:space="preserve"> обязанностей работников Учреждения, связанных с предупреждением коррупции </w:t>
            </w:r>
          </w:p>
        </w:tc>
      </w:tr>
      <w:tr w:rsidR="00B84907" w:rsidRPr="00E92D79" w:rsidTr="00A97216">
        <w:trPr>
          <w:trHeight w:val="208"/>
        </w:trPr>
        <w:tc>
          <w:tcPr>
            <w:tcW w:w="3794" w:type="dxa"/>
            <w:vMerge w:val="restart"/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Введение процедуры информирования работником Учреждения руководителя Учреждения и своего непосредственного руководителя</w:t>
            </w:r>
            <w:r w:rsidRPr="00E92D79" w:rsidDel="002224E6">
              <w:t xml:space="preserve"> </w:t>
            </w:r>
            <w:r w:rsidRPr="00E92D79">
              <w:t>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B84907" w:rsidRPr="00E92D79" w:rsidTr="00A97216">
        <w:trPr>
          <w:trHeight w:val="230"/>
        </w:trPr>
        <w:tc>
          <w:tcPr>
            <w:tcW w:w="3794" w:type="dxa"/>
            <w:vMerge/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</w:t>
            </w:r>
            <w:r w:rsidRPr="00E92D79">
              <w:lastRenderedPageBreak/>
              <w:t>Учреждения или иными лицами и порядка рассмотрения таких сообщений</w:t>
            </w:r>
          </w:p>
        </w:tc>
      </w:tr>
      <w:tr w:rsidR="00B84907" w:rsidRPr="00E92D79" w:rsidTr="00A97216">
        <w:trPr>
          <w:trHeight w:val="195"/>
        </w:trPr>
        <w:tc>
          <w:tcPr>
            <w:tcW w:w="3794" w:type="dxa"/>
            <w:vMerge/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84907" w:rsidRPr="00E92D79" w:rsidTr="00A97216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B84907" w:rsidRPr="00E92D79" w:rsidRDefault="00B84907" w:rsidP="00A97216">
            <w:pPr>
              <w:pStyle w:val="af5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Введение процедур защиты работников Учреждения, сообщивших о коррупционных правонарушениях в деятельности Учреждения </w:t>
            </w:r>
          </w:p>
        </w:tc>
      </w:tr>
      <w:tr w:rsidR="00B84907" w:rsidRPr="00E92D79" w:rsidTr="00A97216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left"/>
              <w:rPr>
                <w:b/>
              </w:rPr>
            </w:pPr>
            <w:r w:rsidRPr="00E92D79"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B84907" w:rsidRPr="00E92D79" w:rsidTr="00A97216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84907" w:rsidRPr="00E92D79" w:rsidTr="00A97216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Учреждения 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процедур, исполнения обязанностей</w:t>
            </w:r>
          </w:p>
        </w:tc>
      </w:tr>
      <w:tr w:rsidR="00B84907" w:rsidRPr="00E92D79" w:rsidTr="00A97216">
        <w:tc>
          <w:tcPr>
            <w:tcW w:w="3794" w:type="dxa"/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B84907" w:rsidRPr="00E92D79" w:rsidRDefault="00B84907" w:rsidP="009764AE">
            <w:pPr>
              <w:pStyle w:val="af5"/>
              <w:jc w:val="both"/>
              <w:rPr>
                <w:b/>
              </w:rPr>
            </w:pPr>
            <w:r w:rsidRPr="00E92D79">
              <w:t xml:space="preserve"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B84907" w:rsidRPr="00E92D79" w:rsidRDefault="00B84907" w:rsidP="00B84907">
      <w:pPr>
        <w:pStyle w:val="af5"/>
        <w:ind w:firstLine="709"/>
        <w:jc w:val="both"/>
        <w:rPr>
          <w:b/>
        </w:rPr>
      </w:pPr>
    </w:p>
    <w:p w:rsidR="00B84907" w:rsidRDefault="00B84907" w:rsidP="00B84907">
      <w:pPr>
        <w:keepNext/>
        <w:keepLines/>
        <w:tabs>
          <w:tab w:val="left" w:pos="0"/>
          <w:tab w:val="left" w:pos="993"/>
        </w:tabs>
        <w:rPr>
          <w:b/>
        </w:rPr>
      </w:pPr>
    </w:p>
    <w:p w:rsidR="00B84907" w:rsidRPr="00F65FDB" w:rsidRDefault="00B84907" w:rsidP="007F0399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65FDB">
        <w:rPr>
          <w:rFonts w:ascii="Times New Roman" w:hAnsi="Times New Roman" w:cs="Times New Roman"/>
          <w:b/>
          <w:sz w:val="28"/>
          <w:szCs w:val="28"/>
        </w:rPr>
        <w:t>. Меры по предупреждению коррупции при взаимодействии</w:t>
      </w:r>
    </w:p>
    <w:p w:rsidR="00B84907" w:rsidRPr="00F65FDB" w:rsidRDefault="00B84907" w:rsidP="007F0399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DB">
        <w:rPr>
          <w:rFonts w:ascii="Times New Roman" w:hAnsi="Times New Roman" w:cs="Times New Roman"/>
          <w:b/>
          <w:sz w:val="28"/>
          <w:szCs w:val="28"/>
        </w:rPr>
        <w:t>с контрагентами Учреждения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1) установление и сохранение деловых (хозяйственных) отношений с теми контрагентами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инициативах;</w:t>
      </w:r>
    </w:p>
    <w:p w:rsidR="00B84907" w:rsidRPr="00E92D79" w:rsidRDefault="00B84907" w:rsidP="00B84907">
      <w:pPr>
        <w:pStyle w:val="af5"/>
        <w:ind w:firstLine="709"/>
        <w:jc w:val="both"/>
      </w:pPr>
      <w:proofErr w:type="gramStart"/>
      <w:r w:rsidRPr="00E92D79">
        <w:t xml:space="preserve"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</w:t>
      </w:r>
      <w:r w:rsidRPr="00E92D79">
        <w:lastRenderedPageBreak/>
        <w:t>контрагентах Учреждения: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3) распространение на контрагентов </w:t>
      </w:r>
      <w:proofErr w:type="gramStart"/>
      <w:r w:rsidRPr="00E92D79">
        <w:t>Учреждения</w:t>
      </w:r>
      <w:proofErr w:type="gramEnd"/>
      <w:r w:rsidRPr="00E92D79"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4) включение в договоры, заключаемые с контрагентами Учреждения, положений о соблюдении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(</w:t>
      </w:r>
      <w:proofErr w:type="spellStart"/>
      <w:r w:rsidRPr="00E92D79">
        <w:t>антикоррупционной</w:t>
      </w:r>
      <w:proofErr w:type="spellEnd"/>
      <w:r w:rsidRPr="00E92D79">
        <w:t xml:space="preserve"> оговорки);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B84907" w:rsidRPr="00E92D79" w:rsidRDefault="00B84907" w:rsidP="00B84907">
      <w:pPr>
        <w:pStyle w:val="af5"/>
        <w:ind w:firstLine="709"/>
        <w:rPr>
          <w:b/>
        </w:rPr>
      </w:pPr>
    </w:p>
    <w:p w:rsidR="00B84907" w:rsidRPr="00E92D79" w:rsidRDefault="00B84907" w:rsidP="00B84907">
      <w:pPr>
        <w:pStyle w:val="af5"/>
        <w:ind w:firstLine="709"/>
        <w:rPr>
          <w:b/>
        </w:rPr>
      </w:pPr>
      <w:r w:rsidRPr="00E92D79">
        <w:rPr>
          <w:b/>
          <w:lang w:val="en-US"/>
        </w:rPr>
        <w:t>VIII</w:t>
      </w:r>
      <w:r w:rsidRPr="00E92D79">
        <w:rPr>
          <w:b/>
        </w:rPr>
        <w:t>. Оценка коррупционных рисков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 w:rsidRPr="00E92D79">
        <w:t>правонарушений</w:t>
      </w:r>
      <w:proofErr w:type="gramEnd"/>
      <w:r w:rsidRPr="00E92D79">
        <w:t xml:space="preserve"> как в целях получения личной выгоды, так и в целях получения выгоды Учреждением.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18. В Учреждении устанавливается следующий порядок проведения оценки коррупционных рисков: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выделение «критических точек» ‒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подготовка «карты коррупционных рисков Учреждения» ‒ сводного описания «критических точек» и возможных коррупционных правонарушений;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19. Перечень должностей в Учреждении, связанных с высоким уровнем коррупционного риска, включает в себя: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</w:t>
      </w:r>
      <w:r w:rsidR="00F65FDB">
        <w:t>начальник</w:t>
      </w:r>
      <w:r w:rsidRPr="00E92D79">
        <w:t xml:space="preserve"> Учреждения;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</w:t>
      </w:r>
      <w:r w:rsidR="00F65FDB">
        <w:t>главный</w:t>
      </w:r>
      <w:r w:rsidRPr="00E92D79">
        <w:t xml:space="preserve"> бухгалтер</w:t>
      </w:r>
      <w:r w:rsidR="00F65FDB">
        <w:t xml:space="preserve"> – начальник финансового отдела</w:t>
      </w:r>
      <w:r w:rsidRPr="00E92D79">
        <w:t>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</w:t>
      </w:r>
      <w:r w:rsidR="00F65FDB">
        <w:t>начальник юридического отдела</w:t>
      </w:r>
      <w:r w:rsidRPr="00E92D79">
        <w:t>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</w:t>
      </w:r>
      <w:r w:rsidR="00F65FDB">
        <w:t>комендант</w:t>
      </w:r>
      <w:r w:rsidRPr="00E92D79">
        <w:t>;</w:t>
      </w:r>
    </w:p>
    <w:p w:rsidR="00B84907" w:rsidRDefault="00B84907" w:rsidP="00B84907">
      <w:pPr>
        <w:pStyle w:val="af5"/>
        <w:ind w:firstLine="709"/>
        <w:jc w:val="both"/>
      </w:pPr>
      <w:r w:rsidRPr="00E92D79">
        <w:t>- </w:t>
      </w:r>
      <w:r w:rsidR="00F65FDB">
        <w:t>начальник отдела производства работ;</w:t>
      </w:r>
    </w:p>
    <w:p w:rsidR="00F65FDB" w:rsidRDefault="00F65FDB" w:rsidP="00B84907">
      <w:pPr>
        <w:pStyle w:val="af5"/>
        <w:ind w:firstLine="709"/>
        <w:jc w:val="both"/>
      </w:pPr>
      <w:r>
        <w:t>- ведущий инженер отдела использования памятников;</w:t>
      </w:r>
    </w:p>
    <w:p w:rsidR="00F65FDB" w:rsidRDefault="00F65FDB" w:rsidP="00B84907">
      <w:pPr>
        <w:pStyle w:val="af5"/>
        <w:ind w:firstLine="709"/>
        <w:jc w:val="both"/>
      </w:pPr>
      <w:r>
        <w:t>- руководитель группы технического обслуживания</w:t>
      </w:r>
    </w:p>
    <w:p w:rsidR="00F65FDB" w:rsidRPr="00E92D79" w:rsidRDefault="00F65FDB" w:rsidP="00B84907">
      <w:pPr>
        <w:pStyle w:val="af5"/>
        <w:ind w:firstLine="709"/>
        <w:jc w:val="both"/>
      </w:pPr>
      <w:r>
        <w:t>- главный инженер – начальник отдела использования памятников.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20. Карта коррупционных рисков Учреждения включает следующие «критические точки»: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все виды платных услуг, оказываемых Учреждением;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хозяйственно-закупочная деятельность;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lastRenderedPageBreak/>
        <w:t>- бухгалтерская деятельность;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процессы, связанные с движением кадров в Учреждении (прием на работу, повышение в должности и т.д.);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принятие управленческих решений.</w:t>
      </w:r>
    </w:p>
    <w:p w:rsidR="00B84907" w:rsidRPr="00E92D79" w:rsidRDefault="00B84907" w:rsidP="00B84907">
      <w:pPr>
        <w:pStyle w:val="af5"/>
        <w:ind w:firstLine="709"/>
        <w:jc w:val="both"/>
      </w:pPr>
    </w:p>
    <w:p w:rsidR="00B84907" w:rsidRPr="00F65FDB" w:rsidRDefault="00B84907" w:rsidP="007F0399">
      <w:pPr>
        <w:keepNext/>
        <w:keepLines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D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65FDB">
        <w:rPr>
          <w:rFonts w:ascii="Times New Roman" w:hAnsi="Times New Roman" w:cs="Times New Roman"/>
          <w:b/>
          <w:sz w:val="28"/>
          <w:szCs w:val="28"/>
        </w:rPr>
        <w:t>. Подарки и представительские расходы</w:t>
      </w:r>
    </w:p>
    <w:p w:rsidR="00B84907" w:rsidRPr="00F65FDB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5FDB">
        <w:rPr>
          <w:rFonts w:ascii="Times New Roman" w:hAnsi="Times New Roman" w:cs="Times New Roman"/>
          <w:sz w:val="28"/>
          <w:szCs w:val="28"/>
        </w:rPr>
        <w:t xml:space="preserve"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критериев: </w:t>
      </w:r>
    </w:p>
    <w:p w:rsidR="00B84907" w:rsidRPr="00F65FDB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5FDB">
        <w:rPr>
          <w:rFonts w:ascii="Times New Roman" w:hAnsi="Times New Roman" w:cs="Times New Roman"/>
          <w:sz w:val="28"/>
          <w:szCs w:val="28"/>
        </w:rPr>
        <w:t xml:space="preserve">- быть прямо связанными с целями деятельности Учреждения; </w:t>
      </w:r>
    </w:p>
    <w:p w:rsidR="00B84907" w:rsidRPr="00F65FDB" w:rsidRDefault="00B84907" w:rsidP="00B84907">
      <w:pPr>
        <w:keepNext/>
        <w:keepLines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65FDB">
        <w:rPr>
          <w:rFonts w:ascii="Times New Roman" w:hAnsi="Times New Roman" w:cs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F65FDB">
        <w:rPr>
          <w:rFonts w:cs="Times New Roman"/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F65FDB">
        <w:rPr>
          <w:rFonts w:cs="Times New Roman"/>
          <w:szCs w:val="28"/>
        </w:rPr>
        <w:t xml:space="preserve">- не создавать </w:t>
      </w:r>
      <w:proofErr w:type="spellStart"/>
      <w:r w:rsidRPr="00F65FDB">
        <w:rPr>
          <w:rFonts w:cs="Times New Roman"/>
          <w:szCs w:val="28"/>
        </w:rPr>
        <w:t>репутационного</w:t>
      </w:r>
      <w:proofErr w:type="spellEnd"/>
      <w:r w:rsidRPr="00F65FDB">
        <w:rPr>
          <w:rFonts w:cs="Times New Roman"/>
          <w:szCs w:val="28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F65FDB">
        <w:rPr>
          <w:rFonts w:cs="Times New Roman"/>
          <w:szCs w:val="28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F65FDB">
        <w:rPr>
          <w:rFonts w:cs="Times New Roman"/>
          <w:szCs w:val="28"/>
        </w:rP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Pr="00F65FDB">
        <w:rPr>
          <w:rFonts w:cs="Times New Roman"/>
          <w:szCs w:val="28"/>
        </w:rPr>
        <w:t>имиджевых</w:t>
      </w:r>
      <w:proofErr w:type="spellEnd"/>
      <w:r w:rsidRPr="00F65FDB">
        <w:rPr>
          <w:rFonts w:cs="Times New Roman"/>
          <w:szCs w:val="28"/>
        </w:rPr>
        <w:t xml:space="preserve"> материалов. 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F65FDB">
        <w:rPr>
          <w:rFonts w:cs="Times New Roman"/>
          <w:szCs w:val="28"/>
        </w:rPr>
        <w:t>23.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B84907" w:rsidRPr="00F65FDB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</w:p>
    <w:p w:rsidR="00B84907" w:rsidRPr="00F65FDB" w:rsidRDefault="00B84907" w:rsidP="00B84907">
      <w:pPr>
        <w:pStyle w:val="af5"/>
        <w:ind w:firstLine="709"/>
        <w:rPr>
          <w:rFonts w:cs="Times New Roman"/>
          <w:b/>
          <w:szCs w:val="28"/>
        </w:rPr>
      </w:pPr>
      <w:r w:rsidRPr="00F65FDB">
        <w:rPr>
          <w:rFonts w:cs="Times New Roman"/>
          <w:b/>
          <w:szCs w:val="28"/>
          <w:lang w:val="en-US"/>
        </w:rPr>
        <w:t>X</w:t>
      </w:r>
      <w:r w:rsidRPr="00F65FDB">
        <w:rPr>
          <w:rFonts w:cs="Times New Roman"/>
          <w:b/>
          <w:szCs w:val="28"/>
        </w:rPr>
        <w:t>. </w:t>
      </w:r>
      <w:proofErr w:type="spellStart"/>
      <w:r w:rsidRPr="00F65FDB">
        <w:rPr>
          <w:rFonts w:cs="Times New Roman"/>
          <w:b/>
          <w:szCs w:val="28"/>
        </w:rPr>
        <w:t>Антикоррупционное</w:t>
      </w:r>
      <w:proofErr w:type="spellEnd"/>
      <w:r w:rsidRPr="00F65FDB">
        <w:rPr>
          <w:rFonts w:cs="Times New Roman"/>
          <w:b/>
          <w:szCs w:val="28"/>
        </w:rPr>
        <w:t xml:space="preserve"> просвещение работников Учреждения</w:t>
      </w:r>
    </w:p>
    <w:p w:rsidR="00B84907" w:rsidRDefault="00B84907" w:rsidP="00B84907">
      <w:pPr>
        <w:pStyle w:val="af5"/>
        <w:ind w:firstLine="709"/>
        <w:jc w:val="both"/>
      </w:pPr>
      <w:r w:rsidRPr="00F65FDB">
        <w:rPr>
          <w:rFonts w:cs="Times New Roman"/>
          <w:szCs w:val="28"/>
        </w:rPr>
        <w:t>24. </w:t>
      </w:r>
      <w:proofErr w:type="spellStart"/>
      <w:r w:rsidRPr="00F65FDB">
        <w:rPr>
          <w:rFonts w:cs="Times New Roman"/>
          <w:szCs w:val="28"/>
        </w:rPr>
        <w:t>Антикоррупционное</w:t>
      </w:r>
      <w:proofErr w:type="spellEnd"/>
      <w:r w:rsidRPr="00F65FDB">
        <w:rPr>
          <w:rFonts w:cs="Times New Roman"/>
          <w:szCs w:val="28"/>
        </w:rPr>
        <w:t xml:space="preserve"> просвещение работников Учреждения осуществляется в целях форми</w:t>
      </w:r>
      <w:r w:rsidRPr="00E92D79">
        <w:t xml:space="preserve">рования </w:t>
      </w:r>
      <w:proofErr w:type="spellStart"/>
      <w:r w:rsidRPr="00E92D79">
        <w:t>антикоррупционного</w:t>
      </w:r>
      <w:proofErr w:type="spellEnd"/>
      <w:r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E92D79">
        <w:t>антикоррупционного</w:t>
      </w:r>
      <w:proofErr w:type="spellEnd"/>
      <w:r w:rsidRPr="00E92D79">
        <w:t xml:space="preserve"> образования, и </w:t>
      </w:r>
      <w:proofErr w:type="spellStart"/>
      <w:r w:rsidRPr="00E92D79">
        <w:t>антикоррупционного</w:t>
      </w:r>
      <w:proofErr w:type="spellEnd"/>
      <w:r w:rsidRPr="00E92D79">
        <w:t xml:space="preserve"> консультирования. </w:t>
      </w:r>
    </w:p>
    <w:p w:rsidR="00E72BFE" w:rsidRDefault="00E72BFE" w:rsidP="00B84907">
      <w:pPr>
        <w:pStyle w:val="af5"/>
        <w:ind w:firstLine="709"/>
        <w:jc w:val="both"/>
      </w:pPr>
      <w:r>
        <w:t xml:space="preserve">Работники правоохранительных органов (представители), органов, осуществляющих государственный контроль (надзор) могут участвовать в </w:t>
      </w:r>
      <w:proofErr w:type="spellStart"/>
      <w:r>
        <w:t>а</w:t>
      </w:r>
      <w:r w:rsidRPr="00F65FDB">
        <w:rPr>
          <w:rFonts w:cs="Times New Roman"/>
          <w:szCs w:val="28"/>
        </w:rPr>
        <w:t>нтикоррупционно</w:t>
      </w:r>
      <w:r>
        <w:rPr>
          <w:rFonts w:cs="Times New Roman"/>
          <w:szCs w:val="28"/>
        </w:rPr>
        <w:t>м</w:t>
      </w:r>
      <w:proofErr w:type="spellEnd"/>
      <w:r w:rsidRPr="00F65FDB">
        <w:rPr>
          <w:rFonts w:cs="Times New Roman"/>
          <w:szCs w:val="28"/>
        </w:rPr>
        <w:t xml:space="preserve"> просвещени</w:t>
      </w:r>
      <w:r>
        <w:rPr>
          <w:rFonts w:cs="Times New Roman"/>
          <w:szCs w:val="28"/>
        </w:rPr>
        <w:t>и</w:t>
      </w:r>
      <w:r w:rsidRPr="00F65FDB">
        <w:rPr>
          <w:rFonts w:cs="Times New Roman"/>
          <w:szCs w:val="28"/>
        </w:rPr>
        <w:t xml:space="preserve"> работников Учреждения</w:t>
      </w:r>
      <w:r>
        <w:rPr>
          <w:rFonts w:cs="Times New Roman"/>
          <w:szCs w:val="28"/>
        </w:rPr>
        <w:t xml:space="preserve"> по договоренности в различных формах.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25. </w:t>
      </w:r>
      <w:proofErr w:type="spellStart"/>
      <w:r w:rsidRPr="00E92D79">
        <w:t>Антикоррупционное</w:t>
      </w:r>
      <w:proofErr w:type="spellEnd"/>
      <w:r w:rsidRPr="00E92D79">
        <w:t xml:space="preserve"> образование работников Учреждения осуществляется за счет Учреждения в форме подготовки (переподготовки) и повышения </w:t>
      </w:r>
      <w:r w:rsidRPr="00E92D79">
        <w:lastRenderedPageBreak/>
        <w:t xml:space="preserve">квалификации должностных лиц Учреждения, ответственных за реализацию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26. </w:t>
      </w:r>
      <w:proofErr w:type="spellStart"/>
      <w:r w:rsidRPr="00E92D79">
        <w:t>Антикоррупционное</w:t>
      </w:r>
      <w:proofErr w:type="spellEnd"/>
      <w:r w:rsidRPr="00E92D79">
        <w:t xml:space="preserve"> консультирование осуществляется в индивидуальном порядке должностными лицами Учреждения, ответственными за реализацию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B84907" w:rsidRPr="00E92D79" w:rsidRDefault="00B84907" w:rsidP="00B84907">
      <w:pPr>
        <w:pStyle w:val="af5"/>
        <w:ind w:firstLine="709"/>
        <w:jc w:val="both"/>
      </w:pPr>
    </w:p>
    <w:p w:rsidR="00B84907" w:rsidRPr="00E92D79" w:rsidRDefault="00B84907" w:rsidP="00B84907">
      <w:pPr>
        <w:pStyle w:val="af5"/>
        <w:rPr>
          <w:b/>
        </w:rPr>
      </w:pPr>
      <w:r w:rsidRPr="00E92D79">
        <w:rPr>
          <w:b/>
          <w:lang w:val="en-US"/>
        </w:rPr>
        <w:t>XI</w:t>
      </w:r>
      <w:r w:rsidRPr="00E92D79">
        <w:rPr>
          <w:b/>
        </w:rPr>
        <w:t>. Внутренний контроль и аудит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30.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Pr="00E92D79">
        <w:t>антикоррупционные</w:t>
      </w:r>
      <w:proofErr w:type="spellEnd"/>
      <w:r w:rsidRPr="00E92D79">
        <w:t xml:space="preserve"> правила и процедуры, перечисленные в разделе </w:t>
      </w:r>
      <w:r w:rsidRPr="00E92D79">
        <w:rPr>
          <w:lang w:val="en-US"/>
        </w:rPr>
        <w:t>VI</w:t>
      </w:r>
      <w:r w:rsidRPr="00E92D79">
        <w:t xml:space="preserve"> настоящего Положения, так и иные правила и процедуры, представленные в Кодексе этики и служебного поведения работников Учреждения).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31. Контроль документирования операций хозяйственной деятельности </w:t>
      </w:r>
      <w:proofErr w:type="gramStart"/>
      <w:r w:rsidRPr="00E92D79">
        <w:t>Учреждения</w:t>
      </w:r>
      <w:proofErr w:type="gramEnd"/>
      <w:r w:rsidRPr="00E92D79"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‒ индикаторов неправомерных действий: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lastRenderedPageBreak/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B84907" w:rsidRPr="00E92D79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 цен;</w:t>
      </w:r>
    </w:p>
    <w:p w:rsidR="00B84907" w:rsidRPr="00E92D79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 денежными средствами.</w:t>
      </w:r>
    </w:p>
    <w:p w:rsidR="00B84907" w:rsidRPr="00E92D79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</w:p>
    <w:p w:rsidR="00B84907" w:rsidRPr="00E92D79" w:rsidRDefault="00B84907" w:rsidP="00B849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органами, </w:t>
      </w:r>
      <w:r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уполномоченными на осуществление государственного контроля (надзора), </w:t>
      </w:r>
      <w:r w:rsidRPr="00E92D79">
        <w:rPr>
          <w:rFonts w:ascii="Times New Roman" w:hAnsi="Times New Roman" w:cs="Times New Roman"/>
          <w:b/>
          <w:sz w:val="28"/>
          <w:szCs w:val="28"/>
        </w:rPr>
        <w:t>и правоохранительными органами в сфере противодействия коррупции</w:t>
      </w:r>
    </w:p>
    <w:p w:rsidR="00B84907" w:rsidRPr="00E92D79" w:rsidRDefault="00B84907" w:rsidP="00B84907">
      <w:pPr>
        <w:pStyle w:val="af5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34. </w:t>
      </w:r>
      <w:proofErr w:type="gramStart"/>
      <w:r w:rsidRPr="00E92D79"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- 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 ‒ надзорных мероприятий в Учреждении по вопросам предупреждения и противодействия коррупции;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Pr="00E92D79">
        <w:t>оперативно-разыскные</w:t>
      </w:r>
      <w:proofErr w:type="spellEnd"/>
      <w:r w:rsidRPr="00E92D79">
        <w:t xml:space="preserve"> мероприятия.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B84907" w:rsidRPr="00E92D79" w:rsidRDefault="00B84907" w:rsidP="00B84907">
      <w:pPr>
        <w:pStyle w:val="af5"/>
        <w:ind w:firstLine="709"/>
        <w:jc w:val="both"/>
      </w:pPr>
    </w:p>
    <w:p w:rsidR="00B84907" w:rsidRPr="00E92D79" w:rsidRDefault="00B84907" w:rsidP="00B84907">
      <w:pPr>
        <w:pStyle w:val="af5"/>
        <w:rPr>
          <w:b/>
        </w:rPr>
      </w:pPr>
      <w:r w:rsidRPr="00E92D79">
        <w:rPr>
          <w:b/>
          <w:lang w:val="en-US"/>
        </w:rPr>
        <w:lastRenderedPageBreak/>
        <w:t>XIII</w:t>
      </w:r>
      <w:r w:rsidRPr="00E92D79">
        <w:rPr>
          <w:b/>
        </w:rPr>
        <w:t>. Ответственность за несоблюдение требований настоящего Положения</w:t>
      </w:r>
    </w:p>
    <w:p w:rsidR="00B84907" w:rsidRPr="00E92D79" w:rsidRDefault="00B84907" w:rsidP="00B84907">
      <w:pPr>
        <w:pStyle w:val="af5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Pr="00E92D79">
        <w:t>контроля за</w:t>
      </w:r>
      <w:proofErr w:type="gramEnd"/>
      <w:r w:rsidRPr="00E92D79">
        <w:t xml:space="preserve"> соблюдением требований настоящего Положения своими подчинёнными.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Pr="00E92D79">
        <w:t xml:space="preserve">Лица, виновные в нарушении требований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B84907" w:rsidRDefault="00B84907" w:rsidP="00B84907">
      <w:pPr>
        <w:pStyle w:val="af5"/>
        <w:ind w:firstLine="709"/>
        <w:jc w:val="both"/>
      </w:pPr>
    </w:p>
    <w:p w:rsidR="00B84907" w:rsidRPr="00E92D79" w:rsidRDefault="00B84907" w:rsidP="00B84907">
      <w:pPr>
        <w:pStyle w:val="af5"/>
        <w:ind w:firstLine="709"/>
        <w:rPr>
          <w:b/>
        </w:rPr>
      </w:pPr>
      <w:r w:rsidRPr="00E92D79">
        <w:rPr>
          <w:b/>
          <w:lang w:val="en-US"/>
        </w:rPr>
        <w:t>XIV</w:t>
      </w:r>
      <w:r w:rsidRPr="00E92D79">
        <w:rPr>
          <w:b/>
        </w:rPr>
        <w:t xml:space="preserve">. Порядок пересмотра настоящего Положения </w:t>
      </w:r>
    </w:p>
    <w:p w:rsidR="00B84907" w:rsidRPr="00E92D79" w:rsidRDefault="00B84907" w:rsidP="00B84907">
      <w:pPr>
        <w:pStyle w:val="af5"/>
        <w:ind w:firstLine="709"/>
        <w:rPr>
          <w:b/>
        </w:rPr>
      </w:pPr>
      <w:r w:rsidRPr="00E92D79">
        <w:rPr>
          <w:b/>
        </w:rPr>
        <w:t>и внесения в него изменений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Учреждения.</w:t>
      </w:r>
    </w:p>
    <w:p w:rsidR="00B84907" w:rsidRPr="00E92D79" w:rsidRDefault="00B84907" w:rsidP="00B84907">
      <w:pPr>
        <w:pStyle w:val="af5"/>
        <w:ind w:firstLine="709"/>
        <w:jc w:val="both"/>
      </w:pPr>
      <w:r w:rsidRPr="00E92D79">
        <w:t xml:space="preserve">42. Должностное лицо Учреждения, ответственное за реализацию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B0706B" w:rsidRPr="007F0399" w:rsidRDefault="00B84907" w:rsidP="007F0399">
      <w:pPr>
        <w:pStyle w:val="ConsPlusNormal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F0399">
        <w:rPr>
          <w:rFonts w:ascii="Times New Roman" w:hAnsi="Times New Roman" w:cs="Times New Roman"/>
          <w:sz w:val="28"/>
          <w:szCs w:val="28"/>
        </w:rPr>
        <w:t xml:space="preserve"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</w:t>
      </w:r>
      <w:r w:rsidR="007F0399" w:rsidRPr="007F0399">
        <w:rPr>
          <w:rFonts w:ascii="Times New Roman" w:hAnsi="Times New Roman" w:cs="Times New Roman"/>
          <w:sz w:val="28"/>
          <w:szCs w:val="28"/>
        </w:rPr>
        <w:t>организационно-штатной структуры Учреждения.</w:t>
      </w:r>
    </w:p>
    <w:sectPr w:rsidR="00B0706B" w:rsidRPr="007F0399" w:rsidSect="00FC1159">
      <w:headerReference w:type="default" r:id="rId8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B0" w:rsidRDefault="00CF24B0" w:rsidP="00265353">
      <w:r>
        <w:separator/>
      </w:r>
    </w:p>
  </w:endnote>
  <w:endnote w:type="continuationSeparator" w:id="0">
    <w:p w:rsidR="00CF24B0" w:rsidRDefault="00CF24B0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B0" w:rsidRDefault="00CF24B0" w:rsidP="00265353">
      <w:r>
        <w:separator/>
      </w:r>
    </w:p>
  </w:footnote>
  <w:footnote w:type="continuationSeparator" w:id="0">
    <w:p w:rsidR="00CF24B0" w:rsidRDefault="00CF24B0" w:rsidP="0026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3" w:rsidRPr="003D1CD3" w:rsidRDefault="00265353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A0326D" w:rsidRPr="003D1CD3" w:rsidRDefault="00A0326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B9"/>
    <w:rsid w:val="000128F7"/>
    <w:rsid w:val="00036A3F"/>
    <w:rsid w:val="00042885"/>
    <w:rsid w:val="00072317"/>
    <w:rsid w:val="000837C7"/>
    <w:rsid w:val="00086632"/>
    <w:rsid w:val="000B1BB4"/>
    <w:rsid w:val="000D1475"/>
    <w:rsid w:val="000F4756"/>
    <w:rsid w:val="00114212"/>
    <w:rsid w:val="00122865"/>
    <w:rsid w:val="00137039"/>
    <w:rsid w:val="00162EB3"/>
    <w:rsid w:val="0018338E"/>
    <w:rsid w:val="001962C0"/>
    <w:rsid w:val="001A02F4"/>
    <w:rsid w:val="001B7614"/>
    <w:rsid w:val="001C7FB3"/>
    <w:rsid w:val="001D612B"/>
    <w:rsid w:val="002005B6"/>
    <w:rsid w:val="00265353"/>
    <w:rsid w:val="00275F09"/>
    <w:rsid w:val="00275FC3"/>
    <w:rsid w:val="00277334"/>
    <w:rsid w:val="002B17C0"/>
    <w:rsid w:val="002F174A"/>
    <w:rsid w:val="002F2B61"/>
    <w:rsid w:val="002F61A4"/>
    <w:rsid w:val="003136C5"/>
    <w:rsid w:val="00332F3F"/>
    <w:rsid w:val="003373EF"/>
    <w:rsid w:val="00350B3E"/>
    <w:rsid w:val="0035262A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B6D7D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15736"/>
    <w:rsid w:val="00627284"/>
    <w:rsid w:val="00657E75"/>
    <w:rsid w:val="00682199"/>
    <w:rsid w:val="006E541E"/>
    <w:rsid w:val="006F025F"/>
    <w:rsid w:val="006F3400"/>
    <w:rsid w:val="006F3DC2"/>
    <w:rsid w:val="00743769"/>
    <w:rsid w:val="007536BC"/>
    <w:rsid w:val="00794D4F"/>
    <w:rsid w:val="0079777A"/>
    <w:rsid w:val="007D1C95"/>
    <w:rsid w:val="007F0399"/>
    <w:rsid w:val="007F1E18"/>
    <w:rsid w:val="007F4A56"/>
    <w:rsid w:val="00813176"/>
    <w:rsid w:val="0083219E"/>
    <w:rsid w:val="0083767B"/>
    <w:rsid w:val="008723D6"/>
    <w:rsid w:val="0089123F"/>
    <w:rsid w:val="008A6FCE"/>
    <w:rsid w:val="008B0AD5"/>
    <w:rsid w:val="008B2599"/>
    <w:rsid w:val="008B3D18"/>
    <w:rsid w:val="008D01A8"/>
    <w:rsid w:val="008D6E52"/>
    <w:rsid w:val="008E2E56"/>
    <w:rsid w:val="00905853"/>
    <w:rsid w:val="0095472F"/>
    <w:rsid w:val="00965248"/>
    <w:rsid w:val="00970AEE"/>
    <w:rsid w:val="009733BA"/>
    <w:rsid w:val="009746B9"/>
    <w:rsid w:val="009764AE"/>
    <w:rsid w:val="009831F6"/>
    <w:rsid w:val="00994E0C"/>
    <w:rsid w:val="009A64F2"/>
    <w:rsid w:val="009B3F52"/>
    <w:rsid w:val="009C3823"/>
    <w:rsid w:val="009F3F27"/>
    <w:rsid w:val="00A0103B"/>
    <w:rsid w:val="00A0326D"/>
    <w:rsid w:val="00A13070"/>
    <w:rsid w:val="00A13D37"/>
    <w:rsid w:val="00A1579F"/>
    <w:rsid w:val="00A15840"/>
    <w:rsid w:val="00A22DC1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706B"/>
    <w:rsid w:val="00B11666"/>
    <w:rsid w:val="00B7381E"/>
    <w:rsid w:val="00B7680D"/>
    <w:rsid w:val="00B84907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C77DAB"/>
    <w:rsid w:val="00CE32C0"/>
    <w:rsid w:val="00CF24B0"/>
    <w:rsid w:val="00D01282"/>
    <w:rsid w:val="00D24B9F"/>
    <w:rsid w:val="00D40E8A"/>
    <w:rsid w:val="00D57A60"/>
    <w:rsid w:val="00D65E07"/>
    <w:rsid w:val="00D73BB8"/>
    <w:rsid w:val="00D83D0F"/>
    <w:rsid w:val="00D87410"/>
    <w:rsid w:val="00D944DC"/>
    <w:rsid w:val="00DC22CF"/>
    <w:rsid w:val="00DC32E3"/>
    <w:rsid w:val="00DE1D6A"/>
    <w:rsid w:val="00DE4AD7"/>
    <w:rsid w:val="00DF0BF6"/>
    <w:rsid w:val="00DF762F"/>
    <w:rsid w:val="00E2112B"/>
    <w:rsid w:val="00E366BD"/>
    <w:rsid w:val="00E72BFE"/>
    <w:rsid w:val="00E76EFB"/>
    <w:rsid w:val="00EA000D"/>
    <w:rsid w:val="00EB542A"/>
    <w:rsid w:val="00EC25F5"/>
    <w:rsid w:val="00EE0898"/>
    <w:rsid w:val="00EF3B60"/>
    <w:rsid w:val="00F126DA"/>
    <w:rsid w:val="00F15BA0"/>
    <w:rsid w:val="00F2539E"/>
    <w:rsid w:val="00F402F8"/>
    <w:rsid w:val="00F4708C"/>
    <w:rsid w:val="00F50ECF"/>
    <w:rsid w:val="00F65FDB"/>
    <w:rsid w:val="00FC1159"/>
    <w:rsid w:val="00FC7DAF"/>
    <w:rsid w:val="00FE11D2"/>
    <w:rsid w:val="00FE2F04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8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A53B9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353"/>
  </w:style>
  <w:style w:type="paragraph" w:styleId="a7">
    <w:name w:val="footer"/>
    <w:basedOn w:val="a0"/>
    <w:link w:val="a8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353"/>
  </w:style>
  <w:style w:type="paragraph" w:styleId="a9">
    <w:name w:val="footnote text"/>
    <w:basedOn w:val="a0"/>
    <w:link w:val="aa"/>
    <w:uiPriority w:val="99"/>
    <w:unhideWhenUsed/>
    <w:rsid w:val="005A660E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5A660E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5A660E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e">
    <w:name w:val="annotation reference"/>
    <w:basedOn w:val="a1"/>
    <w:uiPriority w:val="99"/>
    <w:semiHidden/>
    <w:unhideWhenUsed/>
    <w:rsid w:val="00F50EC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50EC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50EC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E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0EC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5F79"/>
    <w:pPr>
      <w:jc w:val="left"/>
    </w:pPr>
  </w:style>
  <w:style w:type="table" w:styleId="af4">
    <w:name w:val="Table Grid"/>
    <w:basedOn w:val="a2"/>
    <w:uiPriority w:val="99"/>
    <w:rsid w:val="00B84907"/>
    <w:pPr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84907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f5">
    <w:name w:val="No Spacing"/>
    <w:uiPriority w:val="1"/>
    <w:qFormat/>
    <w:rsid w:val="00B84907"/>
    <w:pPr>
      <w:jc w:val="center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5346E-F08D-4F8F-B9DA-CD715B32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Соболева</cp:lastModifiedBy>
  <cp:revision>4</cp:revision>
  <cp:lastPrinted>2017-01-11T09:09:00Z</cp:lastPrinted>
  <dcterms:created xsi:type="dcterms:W3CDTF">2021-06-10T05:07:00Z</dcterms:created>
  <dcterms:modified xsi:type="dcterms:W3CDTF">2021-06-10T05:09:00Z</dcterms:modified>
</cp:coreProperties>
</file>